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CB8" w:rsidRDefault="00271CB8" w:rsidP="00271CB8">
      <w:pPr>
        <w:jc w:val="center"/>
      </w:pPr>
    </w:p>
    <w:p w:rsidR="00271CB8" w:rsidRDefault="00271CB8" w:rsidP="00271CB8">
      <w:pPr>
        <w:jc w:val="center"/>
      </w:pPr>
    </w:p>
    <w:p w:rsidR="00271CB8" w:rsidRDefault="00271CB8" w:rsidP="00271CB8">
      <w:pPr>
        <w:jc w:val="center"/>
      </w:pPr>
    </w:p>
    <w:p w:rsidR="00271CB8" w:rsidRDefault="00271CB8" w:rsidP="00271CB8">
      <w:pPr>
        <w:jc w:val="center"/>
      </w:pPr>
    </w:p>
    <w:p w:rsidR="00271CB8" w:rsidRDefault="00271CB8" w:rsidP="00271CB8">
      <w:pPr>
        <w:jc w:val="center"/>
      </w:pPr>
    </w:p>
    <w:p w:rsidR="00271CB8" w:rsidRDefault="00271CB8" w:rsidP="00271CB8">
      <w:pPr>
        <w:jc w:val="center"/>
      </w:pPr>
    </w:p>
    <w:p w:rsidR="00E85B09" w:rsidRDefault="00271CB8" w:rsidP="00271CB8">
      <w:pPr>
        <w:jc w:val="center"/>
      </w:pPr>
      <w:bookmarkStart w:id="0" w:name="_GoBack"/>
      <w:r>
        <w:t xml:space="preserve">Similarities &amp; Differences </w:t>
      </w:r>
      <w:bookmarkEnd w:id="0"/>
      <w:r>
        <w:t>of Strategic Tools</w:t>
      </w:r>
    </w:p>
    <w:p w:rsidR="00271CB8" w:rsidRDefault="00271CB8" w:rsidP="00271CB8">
      <w:pPr>
        <w:jc w:val="center"/>
      </w:pPr>
      <w:r>
        <w:t>Student’s Name</w:t>
      </w:r>
    </w:p>
    <w:p w:rsidR="00271CB8" w:rsidRDefault="00271CB8" w:rsidP="00271CB8">
      <w:pPr>
        <w:jc w:val="center"/>
      </w:pPr>
      <w:r>
        <w:t>Institution</w:t>
      </w:r>
    </w:p>
    <w:p w:rsidR="00271CB8" w:rsidRDefault="00271CB8">
      <w:pPr>
        <w:spacing w:line="276" w:lineRule="auto"/>
      </w:pPr>
      <w:r>
        <w:br w:type="page"/>
      </w:r>
    </w:p>
    <w:p w:rsidR="00271CB8" w:rsidRDefault="00271CB8" w:rsidP="00271CB8">
      <w:pPr>
        <w:jc w:val="center"/>
      </w:pPr>
      <w:r>
        <w:lastRenderedPageBreak/>
        <w:t>Similarities &amp; Differences of Strategic Tools</w:t>
      </w:r>
    </w:p>
    <w:p w:rsidR="00271CB8" w:rsidRDefault="00271CB8" w:rsidP="006E412F">
      <w:pPr>
        <w:ind w:firstLine="720"/>
        <w:jc w:val="both"/>
      </w:pPr>
      <w:r>
        <w:t>The SWOT Matrix, SPACE Matrix, BCG Matrix, IE Matrix as well as the Grand Strategy Matrix are reliant on information obtained from the input stage used in matching external opportunit</w:t>
      </w:r>
      <w:r w:rsidR="00877C13">
        <w:t>ies as well as</w:t>
      </w:r>
      <w:r w:rsidR="00F94A53">
        <w:t xml:space="preserve"> threats and</w:t>
      </w:r>
      <w:r>
        <w:t xml:space="preserve"> internal strengths and weaknesses</w:t>
      </w:r>
      <w:r w:rsidRPr="0061321D">
        <w:rPr>
          <w:rFonts w:cs="Times New Roman"/>
          <w:color w:val="222222"/>
          <w:szCs w:val="24"/>
          <w:shd w:val="clear" w:color="auto" w:fill="FFFFFF"/>
        </w:rPr>
        <w:t xml:space="preserve"> </w:t>
      </w:r>
      <w:r>
        <w:rPr>
          <w:rFonts w:cs="Times New Roman"/>
          <w:color w:val="222222"/>
          <w:szCs w:val="24"/>
          <w:shd w:val="clear" w:color="auto" w:fill="FFFFFF"/>
        </w:rPr>
        <w:t>(</w:t>
      </w:r>
      <w:r w:rsidRPr="00EC117D">
        <w:rPr>
          <w:rFonts w:cs="Times New Roman"/>
          <w:color w:val="222222"/>
          <w:szCs w:val="24"/>
          <w:shd w:val="clear" w:color="auto" w:fill="FFFFFF"/>
        </w:rPr>
        <w:t>Gü</w:t>
      </w:r>
      <w:r>
        <w:rPr>
          <w:rFonts w:cs="Times New Roman"/>
          <w:color w:val="222222"/>
          <w:szCs w:val="24"/>
          <w:shd w:val="clear" w:color="auto" w:fill="FFFFFF"/>
        </w:rPr>
        <w:t xml:space="preserve">rbüz, </w:t>
      </w:r>
      <w:r w:rsidRPr="00EC117D">
        <w:rPr>
          <w:rFonts w:cs="Times New Roman"/>
          <w:color w:val="222222"/>
          <w:szCs w:val="24"/>
          <w:shd w:val="clear" w:color="auto" w:fill="FFFFFF"/>
        </w:rPr>
        <w:t>2019)</w:t>
      </w:r>
      <w:r>
        <w:t>. They are aimed at matching external as well as external internal critical success factors to successfully generate feasible alternative strategies. They are strategic tools effective in displaying insights concerning the strategic planning efforts of businesses. The insights recorded from each strategic tool are used to explain companies’ strategic options within the workplace. These strategic tools depict the strengths that make the business perform well and delineate the opportunities which the business enjoys. Also, they consider the weaknesses alongside threats posed on businesses. These internal and external factors of a business are thus matched by the strategic tools.</w:t>
      </w:r>
    </w:p>
    <w:p w:rsidR="00271CB8" w:rsidRDefault="00271CB8" w:rsidP="006E412F">
      <w:pPr>
        <w:ind w:firstLine="720"/>
        <w:jc w:val="both"/>
      </w:pPr>
      <w:r>
        <w:t xml:space="preserve">Conversely, these strategic tools have some differences between themselves. For instance, SWOT matrix encapsulates a square graph which lists strengths, weaknesses, opportunities along with threats of a company in four entity quadrants. SPACE matrix consists of a four-quadrant structure indicating whether strategies essential for a business entity are aggressive, conservative, defensive or competitive </w:t>
      </w:r>
      <w:r>
        <w:rPr>
          <w:rFonts w:cs="Times New Roman"/>
          <w:color w:val="222222"/>
          <w:szCs w:val="24"/>
          <w:shd w:val="clear" w:color="auto" w:fill="FFFFFF"/>
        </w:rPr>
        <w:t>(</w:t>
      </w:r>
      <w:r w:rsidRPr="00EC117D">
        <w:rPr>
          <w:rFonts w:cs="Times New Roman"/>
          <w:color w:val="222222"/>
          <w:szCs w:val="24"/>
          <w:shd w:val="clear" w:color="auto" w:fill="FFFFFF"/>
        </w:rPr>
        <w:t>Gü</w:t>
      </w:r>
      <w:r>
        <w:rPr>
          <w:rFonts w:cs="Times New Roman"/>
          <w:color w:val="222222"/>
          <w:szCs w:val="24"/>
          <w:shd w:val="clear" w:color="auto" w:fill="FFFFFF"/>
        </w:rPr>
        <w:t xml:space="preserve">rbüz, </w:t>
      </w:r>
      <w:r w:rsidRPr="00EC117D">
        <w:rPr>
          <w:rFonts w:cs="Times New Roman"/>
          <w:color w:val="222222"/>
          <w:szCs w:val="24"/>
          <w:shd w:val="clear" w:color="auto" w:fill="FFFFFF"/>
        </w:rPr>
        <w:t>2019)</w:t>
      </w:r>
      <w:r>
        <w:t>. The axes in this strategic tool denote two internal dimensions – financial and competitive positions - and two external dimensions – stability and industry positions. On the other hand, IE matrix is developed to specifically augment a firm’s multidivisional effort of formulating strategies. BCG matrix is used in graphically to represent differences amongst divisions in an organization emphasizing relative market share position as well as industry growth rate. Grand strategy matrix lists strategic options for companies in the four-quadrant graph. It divides the options into strong and weak competitive positions.</w:t>
      </w: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3902E5" w:rsidRDefault="003902E5" w:rsidP="00271CB8">
      <w:pPr>
        <w:ind w:firstLine="720"/>
        <w:jc w:val="center"/>
      </w:pPr>
    </w:p>
    <w:p w:rsidR="00271CB8" w:rsidRDefault="00271CB8" w:rsidP="00271CB8">
      <w:pPr>
        <w:ind w:firstLine="720"/>
        <w:jc w:val="center"/>
      </w:pPr>
      <w:r>
        <w:lastRenderedPageBreak/>
        <w:t>References</w:t>
      </w:r>
    </w:p>
    <w:p w:rsidR="00271CB8" w:rsidRPr="00EC117D" w:rsidRDefault="00271CB8" w:rsidP="00271CB8">
      <w:pPr>
        <w:ind w:left="720" w:hanging="720"/>
        <w:rPr>
          <w:rFonts w:cs="Times New Roman"/>
          <w:szCs w:val="24"/>
        </w:rPr>
      </w:pPr>
      <w:r w:rsidRPr="00EC117D">
        <w:rPr>
          <w:rFonts w:cs="Times New Roman"/>
          <w:color w:val="222222"/>
          <w:szCs w:val="24"/>
          <w:shd w:val="clear" w:color="auto" w:fill="FFFFFF"/>
        </w:rPr>
        <w:t>Gürbüz, T. (2019). STRATEGY FORMULATION USING A HYBRID MCDM APPROACH FOR STRATEGIC POSITION AND ACTION EVALUATION (SPACE) MATRIX METHOD. </w:t>
      </w:r>
      <w:r w:rsidRPr="00EC117D">
        <w:rPr>
          <w:rFonts w:cs="Times New Roman"/>
          <w:i/>
          <w:iCs/>
          <w:color w:val="222222"/>
          <w:szCs w:val="24"/>
          <w:shd w:val="clear" w:color="auto" w:fill="FFFFFF"/>
        </w:rPr>
        <w:t>Journal of Aeronautics and Space Technologies</w:t>
      </w:r>
      <w:r w:rsidRPr="00EC117D">
        <w:rPr>
          <w:rFonts w:cs="Times New Roman"/>
          <w:color w:val="222222"/>
          <w:szCs w:val="24"/>
          <w:shd w:val="clear" w:color="auto" w:fill="FFFFFF"/>
        </w:rPr>
        <w:t>, </w:t>
      </w:r>
      <w:r w:rsidRPr="00EC117D">
        <w:rPr>
          <w:rFonts w:cs="Times New Roman"/>
          <w:i/>
          <w:iCs/>
          <w:color w:val="222222"/>
          <w:szCs w:val="24"/>
          <w:shd w:val="clear" w:color="auto" w:fill="FFFFFF"/>
        </w:rPr>
        <w:t>12</w:t>
      </w:r>
      <w:r w:rsidRPr="00EC117D">
        <w:rPr>
          <w:rFonts w:cs="Times New Roman"/>
          <w:color w:val="222222"/>
          <w:szCs w:val="24"/>
          <w:shd w:val="clear" w:color="auto" w:fill="FFFFFF"/>
        </w:rPr>
        <w:t>(1), 1-17.</w:t>
      </w:r>
    </w:p>
    <w:p w:rsidR="00271CB8" w:rsidRPr="005F5988" w:rsidRDefault="00271CB8" w:rsidP="00271CB8"/>
    <w:p w:rsidR="00271CB8" w:rsidRDefault="00271CB8" w:rsidP="00271CB8">
      <w:pPr>
        <w:jc w:val="center"/>
      </w:pPr>
    </w:p>
    <w:p w:rsidR="00271CB8" w:rsidRPr="00271CB8" w:rsidRDefault="00271CB8" w:rsidP="00271CB8"/>
    <w:sectPr w:rsidR="00271CB8" w:rsidRPr="00271CB8" w:rsidSect="00271C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398" w:rsidRDefault="00A76398" w:rsidP="00271CB8">
      <w:pPr>
        <w:spacing w:after="0" w:line="240" w:lineRule="auto"/>
      </w:pPr>
      <w:r>
        <w:separator/>
      </w:r>
    </w:p>
  </w:endnote>
  <w:endnote w:type="continuationSeparator" w:id="0">
    <w:p w:rsidR="00A76398" w:rsidRDefault="00A76398" w:rsidP="00271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398" w:rsidRDefault="00A76398" w:rsidP="00271CB8">
      <w:pPr>
        <w:spacing w:after="0" w:line="240" w:lineRule="auto"/>
      </w:pPr>
      <w:r>
        <w:separator/>
      </w:r>
    </w:p>
  </w:footnote>
  <w:footnote w:type="continuationSeparator" w:id="0">
    <w:p w:rsidR="00A76398" w:rsidRDefault="00A76398" w:rsidP="00271C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46315"/>
      <w:docPartObj>
        <w:docPartGallery w:val="Page Numbers (Top of Page)"/>
        <w:docPartUnique/>
      </w:docPartObj>
    </w:sdtPr>
    <w:sdtEndPr/>
    <w:sdtContent>
      <w:p w:rsidR="00271CB8" w:rsidRDefault="00271CB8">
        <w:pPr>
          <w:pStyle w:val="Header"/>
          <w:jc w:val="right"/>
        </w:pPr>
        <w:r>
          <w:t>SIMMILARITIES &amp; DIFFERENCES OF STRATEGIC TOOLS</w:t>
        </w:r>
        <w:r>
          <w:tab/>
        </w:r>
        <w:r w:rsidR="00A76398">
          <w:fldChar w:fldCharType="begin"/>
        </w:r>
        <w:r w:rsidR="00A76398">
          <w:instrText xml:space="preserve"> PAGE   \* MERGEFORMAT </w:instrText>
        </w:r>
        <w:r w:rsidR="00A76398">
          <w:fldChar w:fldCharType="separate"/>
        </w:r>
        <w:r w:rsidR="006E412F">
          <w:rPr>
            <w:noProof/>
          </w:rPr>
          <w:t>2</w:t>
        </w:r>
        <w:r w:rsidR="00A76398">
          <w:rPr>
            <w:noProof/>
          </w:rPr>
          <w:fldChar w:fldCharType="end"/>
        </w:r>
      </w:p>
    </w:sdtContent>
  </w:sdt>
  <w:p w:rsidR="00271CB8" w:rsidRDefault="00271CB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CB8" w:rsidRDefault="00271CB8">
    <w:pPr>
      <w:pStyle w:val="Header"/>
    </w:pPr>
    <w:r>
      <w:t>Running Head: SIMILARITIES &amp; DIFFERENCES OF STRATEGIC TOOLS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87D"/>
    <w:rsid w:val="001C078F"/>
    <w:rsid w:val="00227C09"/>
    <w:rsid w:val="00271CB8"/>
    <w:rsid w:val="002760E2"/>
    <w:rsid w:val="003902E5"/>
    <w:rsid w:val="003B7E39"/>
    <w:rsid w:val="00514D12"/>
    <w:rsid w:val="00581C56"/>
    <w:rsid w:val="005F5988"/>
    <w:rsid w:val="0061321D"/>
    <w:rsid w:val="0062635E"/>
    <w:rsid w:val="0066699B"/>
    <w:rsid w:val="006E412F"/>
    <w:rsid w:val="0076087D"/>
    <w:rsid w:val="00877C13"/>
    <w:rsid w:val="008D00AE"/>
    <w:rsid w:val="00A7216D"/>
    <w:rsid w:val="00A76398"/>
    <w:rsid w:val="00AA5FC1"/>
    <w:rsid w:val="00BA0838"/>
    <w:rsid w:val="00D80E85"/>
    <w:rsid w:val="00DA7424"/>
    <w:rsid w:val="00E85B09"/>
    <w:rsid w:val="00EB3E6C"/>
    <w:rsid w:val="00F94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D48E9B-4F69-4F76-938F-7D505E775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B8"/>
    <w:rPr>
      <w:rFonts w:ascii="Times New Roman" w:hAnsi="Times New Roman"/>
      <w:sz w:val="24"/>
    </w:rPr>
  </w:style>
  <w:style w:type="paragraph" w:styleId="Footer">
    <w:name w:val="footer"/>
    <w:basedOn w:val="Normal"/>
    <w:link w:val="FooterChar"/>
    <w:uiPriority w:val="99"/>
    <w:semiHidden/>
    <w:unhideWhenUsed/>
    <w:rsid w:val="00271C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1CB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2019-09-28T12:18:00Z</dcterms:created>
  <dcterms:modified xsi:type="dcterms:W3CDTF">2019-09-28T12:18:00Z</dcterms:modified>
</cp:coreProperties>
</file>